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DA" w:rsidRPr="007B1BDA" w:rsidRDefault="007B1BDA" w:rsidP="007B1BD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</w:pPr>
      <w:r w:rsidRPr="007B1BDA"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  <w:t>АДМИНИСТРАЦИЯ</w:t>
      </w:r>
    </w:p>
    <w:p w:rsidR="007B1BDA" w:rsidRPr="007B1BDA" w:rsidRDefault="007B1BDA" w:rsidP="007B1BD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</w:pPr>
      <w:r w:rsidRPr="007B1BDA"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  <w:t>ПОСЕЛКА ИМЕНИ К. ЛИБКНЕХТА</w:t>
      </w:r>
    </w:p>
    <w:p w:rsidR="007B1BDA" w:rsidRPr="007B1BDA" w:rsidRDefault="007B1BDA" w:rsidP="007B1BD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</w:pPr>
      <w:r w:rsidRPr="007B1BDA"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  <w:t>КУРЧАТОВСКОГО РАЙОНА КУРСКОЙ ОБЛАСТИ</w:t>
      </w:r>
    </w:p>
    <w:p w:rsidR="007B1BDA" w:rsidRDefault="007B1BDA" w:rsidP="007B1BD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7B1BDA" w:rsidRPr="007B1BDA" w:rsidRDefault="007B1BDA" w:rsidP="007B1BD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</w:pPr>
      <w:r w:rsidRPr="007B1BDA"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  <w:t>от «</w:t>
      </w:r>
      <w:r w:rsidR="00471429"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  <w:t>03</w:t>
      </w:r>
      <w:r w:rsidRPr="007B1BDA"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» </w:t>
      </w:r>
      <w:r w:rsidR="00471429"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марта </w:t>
      </w:r>
      <w:r w:rsidRPr="007B1BDA"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  <w:t>202</w:t>
      </w:r>
      <w:r w:rsidR="00471429"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  <w:t>1</w:t>
      </w:r>
      <w:r w:rsidRPr="007B1BDA"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 года</w:t>
      </w:r>
    </w:p>
    <w:p w:rsidR="007B1BDA" w:rsidRPr="007B1BDA" w:rsidRDefault="007B1BDA" w:rsidP="007B1BD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</w:pPr>
    </w:p>
    <w:p w:rsidR="007B1BDA" w:rsidRPr="007B1BDA" w:rsidRDefault="007B1BDA" w:rsidP="007B1BD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ar-SA"/>
        </w:rPr>
      </w:pPr>
      <w:r w:rsidRPr="007B1BDA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ПОСТАНОВЛЕНИЕ № </w:t>
      </w:r>
      <w:r w:rsidR="00471429">
        <w:rPr>
          <w:rFonts w:ascii="Times New Roman" w:hAnsi="Times New Roman" w:cs="Times New Roman"/>
          <w:b/>
          <w:color w:val="00000A"/>
          <w:kern w:val="2"/>
          <w:sz w:val="28"/>
          <w:szCs w:val="28"/>
          <w:lang w:eastAsia="ar-SA"/>
        </w:rPr>
        <w:t>41</w:t>
      </w:r>
    </w:p>
    <w:p w:rsidR="007B1BDA" w:rsidRPr="007B1BDA" w:rsidRDefault="007B1BDA" w:rsidP="007B1B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B1BD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proofErr w:type="gramStart"/>
      <w:r w:rsidRPr="007B1BDA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 утверждении Порядка проведения оценки регулирующего воз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действия проектов муниципальных </w:t>
      </w:r>
      <w:r w:rsidRPr="007B1BDA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нормативных правовых актов и Порядка проведения экспертизы муниципальных нормативных правовых актов</w:t>
      </w:r>
      <w:proofErr w:type="gramEnd"/>
    </w:p>
    <w:p w:rsidR="007B1BDA" w:rsidRPr="007B1BDA" w:rsidRDefault="007B1BDA" w:rsidP="007B1BD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Pr="007B1BDA" w:rsidRDefault="007B1BDA" w:rsidP="007B1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7" w:history="1">
        <w:r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09.11.2020 № 363-ФЗ «О внесении изменений в статью 46 Федерального закона «Об общих принципах организации местного самоуправления в Российской Федерации»</w:t>
        </w:r>
      </w:hyperlink>
      <w:r w:rsidRP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9" w:history="1">
        <w:r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Курской области от 25.02.2014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</w:t>
        </w:r>
        <w:proofErr w:type="gramEnd"/>
        <w:r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  </w:r>
      </w:hyperlink>
      <w:r w:rsid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(в редакции Закона Курской области от 18.02.2020 г. №9-ЗКО)</w:t>
      </w:r>
      <w:r w:rsidRP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руководствуясь</w:t>
      </w:r>
      <w:hyperlink r:id="rId10" w:history="1">
        <w:r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Уставом муниципального</w:t>
        </w:r>
      </w:hyperlink>
      <w:r w:rsidRP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B1B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образования «поселок имени К.Либкнехта» Курчатовского района Курской области, принимая во внимание Предложение </w:t>
      </w:r>
      <w:r w:rsidRPr="007B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Курчатовской межрайонной прокуратуры от 15.12.2020 №33-2020,</w:t>
      </w:r>
    </w:p>
    <w:p w:rsidR="007B1BDA" w:rsidRDefault="007B1BDA" w:rsidP="007B1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поселка имени К.Либкнехта Курчатовского района </w:t>
      </w:r>
    </w:p>
    <w:p w:rsidR="00AD3320" w:rsidRDefault="00AD3320" w:rsidP="00AD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3320" w:rsidRDefault="00AD3320" w:rsidP="00AD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2E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AD3320" w:rsidRPr="00AA2EC2" w:rsidRDefault="00AD3320" w:rsidP="00AD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3320" w:rsidRPr="007B1BDA" w:rsidRDefault="00AD3320" w:rsidP="007B1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BDA" w:rsidRPr="00AD3320" w:rsidRDefault="007B1BDA" w:rsidP="00AD33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Утвердить Порядок </w:t>
      </w:r>
      <w:proofErr w:type="gramStart"/>
      <w:r w:rsidRPr="00AD33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D33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согласно приложению № 1 к настоящему постановлению.</w:t>
      </w:r>
    </w:p>
    <w:p w:rsidR="00AD3320" w:rsidRPr="00AD3320" w:rsidRDefault="007B1BDA" w:rsidP="00AD33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Утвердить Порядок проведения экспертизы муниципальных нормативных правовых актов согласно приложению </w:t>
      </w:r>
      <w:r w:rsidR="00AD3320" w:rsidRPr="00AD33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№ 2 к настоящему постановлению.</w:t>
      </w:r>
    </w:p>
    <w:p w:rsidR="00AD3320" w:rsidRPr="00AD3320" w:rsidRDefault="00AD3320" w:rsidP="00AD33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320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AD3320" w:rsidRPr="00AD3320" w:rsidRDefault="00AD3320" w:rsidP="00AD33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320">
        <w:rPr>
          <w:rFonts w:ascii="Times New Roman" w:hAnsi="Times New Roman"/>
          <w:sz w:val="24"/>
          <w:szCs w:val="24"/>
        </w:rPr>
        <w:t xml:space="preserve">Данное постановление разместить на официальном сайте администрации поселка имени К.Либкнехта </w:t>
      </w:r>
      <w:r w:rsidRPr="00AD3320">
        <w:rPr>
          <w:rFonts w:ascii="Times New Roman" w:hAnsi="Times New Roman"/>
          <w:color w:val="0070C0"/>
          <w:sz w:val="24"/>
          <w:szCs w:val="24"/>
        </w:rPr>
        <w:t>(http://поселок-клибкнехта</w:t>
      </w:r>
      <w:proofErr w:type="gramStart"/>
      <w:r w:rsidRPr="00AD3320">
        <w:rPr>
          <w:rFonts w:ascii="Times New Roman" w:hAnsi="Times New Roman"/>
          <w:color w:val="0070C0"/>
          <w:sz w:val="24"/>
          <w:szCs w:val="24"/>
        </w:rPr>
        <w:t>.р</w:t>
      </w:r>
      <w:proofErr w:type="gramEnd"/>
      <w:r w:rsidRPr="00AD3320">
        <w:rPr>
          <w:rFonts w:ascii="Times New Roman" w:hAnsi="Times New Roman"/>
          <w:color w:val="0070C0"/>
          <w:sz w:val="24"/>
          <w:szCs w:val="24"/>
        </w:rPr>
        <w:t>ф).</w:t>
      </w:r>
    </w:p>
    <w:p w:rsidR="00AD3320" w:rsidRPr="00AD3320" w:rsidRDefault="00AD3320" w:rsidP="00AD33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320">
        <w:rPr>
          <w:rFonts w:ascii="Times New Roman" w:hAnsi="Times New Roman"/>
          <w:sz w:val="24"/>
          <w:szCs w:val="24"/>
        </w:rPr>
        <w:t xml:space="preserve">Контроль за исполнение возложить на заместителя </w:t>
      </w:r>
      <w:r w:rsidR="00D50DC9">
        <w:rPr>
          <w:rFonts w:ascii="Times New Roman" w:hAnsi="Times New Roman"/>
          <w:sz w:val="24"/>
          <w:szCs w:val="24"/>
        </w:rPr>
        <w:t>Г</w:t>
      </w:r>
      <w:r w:rsidRPr="00AD3320">
        <w:rPr>
          <w:rFonts w:ascii="Times New Roman" w:hAnsi="Times New Roman"/>
          <w:sz w:val="24"/>
          <w:szCs w:val="24"/>
        </w:rPr>
        <w:t xml:space="preserve">лавы поселка имени К.Либкнехта </w:t>
      </w:r>
      <w:r w:rsidR="00D50DC9">
        <w:rPr>
          <w:rFonts w:ascii="Times New Roman" w:hAnsi="Times New Roman"/>
          <w:sz w:val="24"/>
          <w:szCs w:val="24"/>
        </w:rPr>
        <w:t>Тюрина Е.Е.</w:t>
      </w:r>
    </w:p>
    <w:p w:rsidR="00AD3320" w:rsidRPr="007D2DD0" w:rsidRDefault="00AD3320" w:rsidP="00AD3320">
      <w:pPr>
        <w:pStyle w:val="a3"/>
        <w:tabs>
          <w:tab w:val="left" w:pos="1104"/>
        </w:tabs>
        <w:ind w:left="1069"/>
        <w:outlineLvl w:val="0"/>
      </w:pPr>
    </w:p>
    <w:p w:rsidR="00AD3320" w:rsidRPr="007D2DD0" w:rsidRDefault="00AD3320" w:rsidP="00AD3320">
      <w:pPr>
        <w:pStyle w:val="a3"/>
        <w:ind w:left="1069"/>
        <w:outlineLvl w:val="0"/>
      </w:pPr>
    </w:p>
    <w:p w:rsidR="00AD3320" w:rsidRPr="007D2DD0" w:rsidRDefault="00AD3320" w:rsidP="00AD3320">
      <w:pPr>
        <w:pStyle w:val="a3"/>
        <w:ind w:left="1069"/>
        <w:outlineLvl w:val="0"/>
      </w:pPr>
    </w:p>
    <w:p w:rsidR="00AD3320" w:rsidRPr="00AD3320" w:rsidRDefault="00AD3320" w:rsidP="00AD33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 xml:space="preserve">Глава поселка имени К.Либкнехта </w:t>
      </w:r>
    </w:p>
    <w:p w:rsidR="007B1BDA" w:rsidRPr="00AD3320" w:rsidRDefault="00AD332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 w:rsidRPr="00AD3320">
        <w:rPr>
          <w:rFonts w:ascii="Times New Roman" w:hAnsi="Times New Roman" w:cs="Times New Roman"/>
          <w:sz w:val="24"/>
        </w:rPr>
        <w:t>Курчатовского района                                                                                       А.М.Туточкин</w:t>
      </w:r>
    </w:p>
    <w:p w:rsidR="00AD3320" w:rsidRDefault="00AD3320" w:rsidP="007B1B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D3320" w:rsidRDefault="00AD3320" w:rsidP="007B1B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03797" w:rsidRDefault="00703797" w:rsidP="007B1B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03797" w:rsidRDefault="00703797" w:rsidP="007B1B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71429" w:rsidRDefault="00471429" w:rsidP="007B1B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D3320" w:rsidRPr="00AD3320" w:rsidRDefault="00AD3320" w:rsidP="00AD33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>Приложение №1</w:t>
      </w:r>
    </w:p>
    <w:p w:rsidR="00AD3320" w:rsidRPr="00AD3320" w:rsidRDefault="00AD3320" w:rsidP="00AD33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>к Постановлению Администрации поселка</w:t>
      </w:r>
    </w:p>
    <w:p w:rsidR="00AD3320" w:rsidRPr="00AD3320" w:rsidRDefault="00AD3320" w:rsidP="00AD33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 xml:space="preserve">имени К.Либкнехта </w:t>
      </w:r>
      <w:r>
        <w:rPr>
          <w:rFonts w:ascii="Times New Roman" w:hAnsi="Times New Roman" w:cs="Times New Roman"/>
          <w:sz w:val="24"/>
        </w:rPr>
        <w:t>Курчатовского района</w:t>
      </w:r>
    </w:p>
    <w:p w:rsidR="00AD3320" w:rsidRPr="00AD3320" w:rsidRDefault="00AD3320" w:rsidP="00AD33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 xml:space="preserve">от </w:t>
      </w:r>
      <w:r w:rsidR="00471429">
        <w:rPr>
          <w:rFonts w:ascii="Times New Roman" w:hAnsi="Times New Roman" w:cs="Times New Roman"/>
          <w:sz w:val="24"/>
        </w:rPr>
        <w:t>03.03.2021 г.</w:t>
      </w:r>
      <w:r w:rsidRPr="00AD3320">
        <w:rPr>
          <w:rFonts w:ascii="Times New Roman" w:hAnsi="Times New Roman" w:cs="Times New Roman"/>
          <w:sz w:val="24"/>
        </w:rPr>
        <w:t xml:space="preserve"> №</w:t>
      </w:r>
      <w:r w:rsidR="00471429">
        <w:rPr>
          <w:rFonts w:ascii="Times New Roman" w:hAnsi="Times New Roman" w:cs="Times New Roman"/>
          <w:sz w:val="24"/>
        </w:rPr>
        <w:t>41</w:t>
      </w:r>
    </w:p>
    <w:p w:rsidR="00AD3320" w:rsidRDefault="00AD3320" w:rsidP="00AD3320">
      <w:pPr>
        <w:ind w:left="4920"/>
      </w:pPr>
    </w:p>
    <w:p w:rsidR="007B1BDA" w:rsidRPr="00AD3320" w:rsidRDefault="007B1BDA" w:rsidP="007B1B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</w:pPr>
      <w:r w:rsidRPr="00AD332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31"/>
          <w:lang w:eastAsia="ru-RU"/>
        </w:rPr>
        <w:t>Порядок</w:t>
      </w:r>
      <w:r w:rsidRPr="00AD332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31"/>
          <w:lang w:eastAsia="ru-RU"/>
        </w:rPr>
        <w:br/>
      </w:r>
      <w:proofErr w:type="gramStart"/>
      <w:r w:rsidRPr="00AD332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31"/>
          <w:lang w:eastAsia="ru-RU"/>
        </w:rPr>
        <w:t>проведения оценки регулирующего воздействия</w:t>
      </w:r>
      <w:r w:rsidRPr="00AD332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31"/>
          <w:lang w:eastAsia="ru-RU"/>
        </w:rPr>
        <w:br/>
        <w:t>проектов муниципальных нормативных правовых актов</w:t>
      </w:r>
      <w:proofErr w:type="gramEnd"/>
      <w:r w:rsidRPr="00AD332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31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> </w:t>
      </w:r>
    </w:p>
    <w:p w:rsidR="00AD3320" w:rsidRDefault="00AD3320" w:rsidP="007B1BD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B1BDA" w:rsidRPr="00AD3320" w:rsidRDefault="007B1BDA" w:rsidP="00AD33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1. Общие положения</w:t>
      </w:r>
    </w:p>
    <w:p w:rsidR="007B1BDA" w:rsidRPr="00C7715E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</w:t>
      </w:r>
      <w:proofErr w:type="gramStart"/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Поря</w:t>
      </w:r>
      <w:r w:rsidR="00C7715E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 разработан в соответствии с</w:t>
      </w:r>
      <w:r w:rsidR="00AD3320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1" w:history="1">
        <w:r w:rsidR="00AD3320" w:rsidRPr="00C7715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AD3320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2" w:history="1">
        <w:r w:rsidR="00AD3320" w:rsidRPr="00C7715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09.11.2020 № 363-ФЗ «О внесении изменений в статью 46 Федерального закона «Об общих принципах организации местного самоуправления в Российской Федерации»</w:t>
        </w:r>
      </w:hyperlink>
      <w:r w:rsidR="00AD3320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3" w:history="1">
        <w:r w:rsidR="00AD3320" w:rsidRPr="00C7715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Курской области от 25.02.2014 № 9-ЗКО «О порядке проведения оценки регулирующего воздействия проектов нормативных правовых актов Курской области</w:t>
        </w:r>
        <w:proofErr w:type="gramEnd"/>
        <w:r w:rsidR="00AD3320" w:rsidRPr="00C7715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, </w:t>
        </w:r>
        <w:proofErr w:type="gramStart"/>
        <w:r w:rsidR="00AD3320" w:rsidRPr="00C7715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  </w:r>
      </w:hyperlink>
      <w:r w:rsidR="00AD3320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(в редакции Закона Курской области от 18.02.2020 г. №9-ЗКО)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и определяет правила проведения оценки регулирующего воздействия (далее - ОРВ) проектов </w:t>
      </w:r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муниципальных 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нормативных правовых актов администрации </w:t>
      </w:r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проектов </w:t>
      </w:r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муниципальных 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нормативных правовых актов </w:t>
      </w:r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Собрания депутатов поселка имени К.Либкнехта Курчатовского</w:t>
      </w:r>
      <w:proofErr w:type="gramEnd"/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вносимых главой </w:t>
      </w:r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правовых актов),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</w:t>
      </w:r>
      <w:proofErr w:type="gramEnd"/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и бюджета </w:t>
      </w:r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D50DC9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«поселок имени К.Либкнехта» Курчатовского района Курской области.</w:t>
      </w:r>
    </w:p>
    <w:p w:rsidR="00CE01EA" w:rsidRPr="00C7715E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Для целей настоящего Порядка применяются следующие понятия:</w:t>
      </w:r>
    </w:p>
    <w:p w:rsidR="00CE01EA" w:rsidRPr="00C7715E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ОРВ - совокупность процедур анализа проблем и целей регулирования, выявления и оценки альтернативных вариантов решения проблем, а также определения связанных с ними выгод и издержек социальных групп (в том числе хозяйствующих субъектов, граждан и общества в целом), подвергающихся воздействию регулирования, для выбора наиболее эффективного варианта регулирования;</w:t>
      </w:r>
    </w:p>
    <w:p w:rsidR="00CE01EA" w:rsidRPr="00C7715E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регулирующи</w:t>
      </w:r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орган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администраци</w:t>
      </w:r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специалисты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осуществляющие подготовку проектов правовых актов;</w:t>
      </w:r>
    </w:p>
    <w:p w:rsidR="00CE01EA" w:rsidRPr="00C7715E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в) уполномоченный орган - </w:t>
      </w:r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поселка имени К.Либкнехта Курчатовского района, </w:t>
      </w:r>
      <w:proofErr w:type="gramStart"/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специалист</w:t>
      </w:r>
      <w:proofErr w:type="gramEnd"/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</w:t>
      </w:r>
      <w:r w:rsidR="00CE01EA"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ый</w:t>
      </w: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осуществление контроля за соблюдением Порядка;</w:t>
      </w:r>
    </w:p>
    <w:p w:rsidR="007B1BDA" w:rsidRPr="00C7715E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участники публичных консультаций - физические и юридические лица, в том числе общественные объединения в сфере предпринимательской и инвестиционной деятельности, научно-экспертные организации.</w:t>
      </w:r>
    </w:p>
    <w:p w:rsidR="00CE01EA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1.3.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Процедура ОРВ проводится в отношении проектов правовых актов, устанавливающих новые или изменяющих ранее предусмотренные муниципальными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нормативными правовыми актами обязанности для субъектов предпринимательской и инвестиционной деятельности, предусматривающих: </w:t>
      </w:r>
      <w:proofErr w:type="gramEnd"/>
    </w:p>
    <w:p w:rsidR="00CE01EA" w:rsidRDefault="00CE01E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введение административных и иных обязанностей, запретов и ограничений для субъектов предпринимательской и инвестиционной деятельности или способствующих их введению;</w:t>
      </w:r>
    </w:p>
    <w:p w:rsidR="00CE01EA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возникновение расходов субъектов предпринимательской и инвестиционной деятельности;</w:t>
      </w:r>
    </w:p>
    <w:p w:rsidR="007B1BDA" w:rsidRPr="00AD3320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в) возникновение расходов бюджета </w:t>
      </w:r>
      <w:r w:rsidR="00CE0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 Курской области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1BDA" w:rsidRPr="00AD3320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 Положения настоящего Порядка не распространяются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7B1BDA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1.4.1. Регулирование цен (тарифов) на товары (услуги).</w:t>
      </w:r>
    </w:p>
    <w:p w:rsidR="001E3829" w:rsidRDefault="001E3829" w:rsidP="001E3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1.4.2. Проекты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муниципальных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нормативных правовых актов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7B1BDA" w:rsidRPr="00AD3320" w:rsidRDefault="001E3829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1.4.3. 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Проекты </w:t>
      </w:r>
      <w:r w:rsidR="00CE0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муниципальных 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нормативных правовых актов </w:t>
      </w:r>
      <w:r w:rsidR="00CE0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Собрания депутатов поселка имени К.Либкнехта Курчатовского района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7B1BDA" w:rsidRPr="00AD3320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</w:t>
      </w:r>
      <w:r w:rsidR="001E38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 Устанавливающие, изменяющие, приостанавливающие, отменяющие местные налоги и сборы.</w:t>
      </w:r>
    </w:p>
    <w:p w:rsidR="00CE01EA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</w:t>
      </w:r>
      <w:r w:rsidR="001E38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 Регулирующие бюджетные правоотношения.</w:t>
      </w:r>
    </w:p>
    <w:p w:rsidR="007B1BDA" w:rsidRPr="00AD3320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</w:t>
      </w:r>
      <w:r w:rsidR="001E38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Проекты правовых актов:</w:t>
      </w:r>
    </w:p>
    <w:p w:rsidR="007B1BDA" w:rsidRPr="00AD3320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</w:t>
      </w:r>
      <w:r w:rsidR="001E38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 Содержащие сведения, составляющие государственную тайну.</w:t>
      </w:r>
    </w:p>
    <w:p w:rsidR="007B1BDA" w:rsidRPr="00AD3320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</w:t>
      </w:r>
      <w:r w:rsidR="001E38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 Содержащие сведения конфиденциального характера.</w:t>
      </w:r>
    </w:p>
    <w:p w:rsidR="00CE01EA" w:rsidRDefault="007B1BD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</w:t>
      </w:r>
      <w:r w:rsidR="001E38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.3.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Принимаемые во исполнение актов высшей юридической силы.</w:t>
      </w:r>
      <w:proofErr w:type="gramEnd"/>
    </w:p>
    <w:p w:rsidR="00CE01EA" w:rsidRDefault="00CE01EA" w:rsidP="00AD33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E01EA" w:rsidRDefault="007B1BDA" w:rsidP="00CE01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CE01E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CE01E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Особенности подготовки проекта правового акта, устанав</w:t>
      </w:r>
      <w:r w:rsidR="00CE01EA" w:rsidRPr="00CE01E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ливающего новые или изменяющего </w:t>
      </w:r>
      <w:r w:rsidRPr="00CE01E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ранее предусмотренные муниципальными нормативными правовыми актами обязанности для субъектов</w:t>
      </w:r>
      <w:r w:rsidR="00CE01EA" w:rsidRPr="00CE01E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Pr="00CE01E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предпринимательской и инвестиционной деятельности</w:t>
      </w:r>
      <w:proofErr w:type="gramEnd"/>
    </w:p>
    <w:p w:rsidR="00CE01EA" w:rsidRPr="00CE01EA" w:rsidRDefault="00CE01EA" w:rsidP="00CE01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5B1526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подготовке проекта правового акта,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деятельности, регулирующий орган до направления проекта на согласование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proofErr w:type="gramEnd"/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 Составляет пояснительную записку к проекту правового акта, в которой должны быть отражены следующие сведения по обоснованию эффективности его принятия: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2.1.1.1. Краткое описание предлагаемого регулирования.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2.1.1.2. Основание для проведения ОРВ (одно или несколько):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2.1.1.2.1. Наличие определенной проблемы в сфере предпринимательской и инвестиционной деятельности.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2.1.1.2.2. Поступление неоднократных обращений граждан и организаций в органы местного самоуправления, свидетельствующих о наличии проблемы в сфере предпринимательской и инвестиционной деятельности.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2.1.1.2.3. Поступление предложений от органов государственной власти, органов местного самоуправления.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2.1.1.3. Сведения о проблеме, на решение которой направлено предлагаемое регулирование, в том числе: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2.1.1.3.1. Причины (источники) возникновения проблемы в сфере регулирования.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2.1.1.3.2. Устойчивость проблемы во времени и отсутствие возможности ее устранения участниками соответствующих отношений самостоятельно (без дополнительного вмешательства).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2.1.1.3.3. Возможности устранения (минимизации негативного воздействия) проблемы, в том числе путем информирования участников соответствующих отношений, совершенствования правоприменительной практики, а также разработки, изменения или отмены муниципальных нормативных правовых актов.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2.1.1.3.4. Цели регулирования, направленные на устранение (минимизацию негативного воздействия) выявленной проблемы.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2.1.1.4. Сведения о проведении специального исследования данной проблемы (если таковое было проведено), в том числе о сформированной экспертной группе для проведения анализа данной проблемы.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2.1.1.5. Предварительная оценка выгод и издержек для социальных групп, а также оценка выгод и издержек сохранения действующего регулирования.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2.1.1.6. Краткое описание: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2.1.1.6.1. Предмета регулирования и социальных групп, на которые распространяется регулирование.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2.1.1.6.2. Проекта муниципального нормативного правового акта.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2.1.1.6.3. Оценок степени и сроков достижения цели регулирования.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2.1.1.6.4. Рисков </w:t>
      </w:r>
      <w:proofErr w:type="spell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недостижения</w:t>
      </w:r>
      <w:proofErr w:type="spell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целей регулирования, а также возможных негативных последствий от введения нового регулирования.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2.1.1.7. Описание реализации регулирования: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2.1.1.7.1. Кто будет отвечать за реализацию выбранного варианта, каким образом будет организована работа, какие для этого потребуются ресурсы.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2.1.1.7.2. Обоснование необходимости запрашиваемой информации, отсутствия дублирования информационных потоков, возможности рационализации информационного потока путем организации межведомственного взаимодействия и электронного документооборота.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2.1.1.7.3. Как будет обеспечиваться соблюдение установленных требований.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2.1.1.8. Наличие необходимости применения исключений по введению регулирования в отношении отдельных групп лиц с соответствующим обоснованием.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2.1.1.9. Оценка расходов бюджета 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2.1.1.10.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7B1BDA" w:rsidRPr="00AD3320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2.1.1.11. Иные сведения, позволяющие оценить обоснованность предлагаемого регулирования.</w:t>
      </w:r>
    </w:p>
    <w:p w:rsidR="005B1526" w:rsidRDefault="007B1BDA" w:rsidP="00CE0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2.1.2. Проводит процедуры ОРВ проекта правового акта.</w:t>
      </w:r>
    </w:p>
    <w:p w:rsidR="007B1BDA" w:rsidRPr="005B1526" w:rsidRDefault="007B1BDA" w:rsidP="005B15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B1BDA" w:rsidRDefault="007B1BDA" w:rsidP="005B15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5B152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3. Порядок проведения публичных консультаций</w:t>
      </w:r>
    </w:p>
    <w:p w:rsidR="005B1526" w:rsidRPr="005B1526" w:rsidRDefault="005B1526" w:rsidP="005B15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 В рамках проведения ОРВ проекта правового акта проводятся публичные консультации, в ходе которых производится оценка отношения социальных групп к предлагаемой проектом правового акта модели урегулирования выявленной проблемы, соответствия представленного проекта правового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акта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заявленным целям, воздействия предлагаемого проектом правового акта регулирования на действующих и потенциальных адресатов регулирования.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проведения публичных консультаций регулирующий орган направляет в администраци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="005B1526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размещения на официальном сайте администрации 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информационно-телекоммуникационной сети «Интернет» (далее - официальные сайты) уведомление о проведении публичных консультаций по форме согласно приложению № 1 к настоящему Порядку, к которому прилагается проект правового акта и пояснительная записка, подготовленная в соответствии с </w:t>
      </w:r>
      <w:proofErr w:type="spell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п.2.1.1</w:t>
      </w:r>
      <w:proofErr w:type="spell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Порядка.</w:t>
      </w:r>
      <w:proofErr w:type="gramEnd"/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3.3. Уведомление о проведении публичных консультаций должно содержать перечень вопросов, обсуждаемых в ходе публичных консультаций, в виде опросного листа (приложение № 2 к настоящему Порядку).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 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Ответственный специалист 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="005B1526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течение 1 рабочего дня после получения уведомления размещает его на официальных сайтах.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 Срок проведения публичных консультаций составляет 30 календарных дней со дня размещения на официальных сайтах уведомления об их проведении.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 Публичные консультации проводятся путем сбора мнений их участников посредством электронной почты, получения мнений на бумажном носителе информации, опроса бизне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с-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экспертных сообществ, интернет-опросов, а также в форме проведения совещаний с заинтересованными сторонами.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 По окончании публичных консультаций регулирующий орган в течение 10 календарных дней со дня истечения срока их проведения: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3.7.1. Проводит анализ информации, полученной в ходе проведения публичных консультаций, с учетом: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3.7.1.1. Исключения информации, не относящейся к предмету публичных консультаций.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3.7.1.2. Анализа доказательной базы полученных мнений участников публичных консультаций.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3.7.1.3. Рассмотрения на экспертной группе (в случае ее создания) возможности принятия мнений, полученных по результатам публичных консультаций.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3.7.1.4. Структурирования информации, полученной в ходе публичных консультаций.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3.7.2.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Составляет отчет о проведении публичных консультаций по форме согласно приложению № 3 к настоящему Порядку с указанием формы проведения публичных консультаций, поименного списка участников публичных консультаций и свода замечаний и предложений по результатам публичных консультаций, в котором отражаются все мнения участников публичных консультаций.</w:t>
      </w:r>
      <w:proofErr w:type="gramEnd"/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3.8. При составлении свода замечаний и предложений по результатам публичных консультаций регулирующий орган указывает, каким образом замечание (предложение) было учтено (при учете замечания и (или) предложения) или причину, по которой замечание и (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или) 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предложение было отклонено (при отклонении замечания и (или) предложения).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3.9. Учету подлежат позиции участников публичных консультаций относительно положений проекта правового акта,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деятельности, а также относительно возможных последствий введения нового правового регулирования.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3.10. Регулирующий орган в течение 1 рабочего дня после составления отчета о проведении публичных консультаций направляет его в администраци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="005B1526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размещения на официальн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сайт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5B1526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3.11. 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Ответственный специалист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="005B1526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течение 1 рабочего дня после получения отчета о проведении публичных консультаций размещает его на официальн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сайт</w:t>
      </w:r>
      <w:r w:rsidR="005B15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Default="007B1BDA" w:rsidP="005B15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5B152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4. Подготовка заключения об ОРВ</w:t>
      </w:r>
    </w:p>
    <w:p w:rsidR="005B1526" w:rsidRPr="005B1526" w:rsidRDefault="005B1526" w:rsidP="005B15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4.1. По результатам оценки проекта правового акта регулирующий орган в течение 5 календарных дней после составления отчета о проведении публичных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консультаций осуществляет подготовку заключения об ОРВ по форме согласно приложению № 4 к настоящему Порядку.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При подготовке заключения об ОРВ подлежат учету рекомендации, предусмотренные </w:t>
      </w:r>
      <w:hyperlink r:id="rId14" w:history="1">
        <w:r w:rsidRPr="00AD332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п. 4.2 Методических рекомендаций</w:t>
        </w:r>
      </w:hyperlink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утвержденных приказом министерства экономического развития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Российской Федерации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03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.2014 № 1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</w:t>
      </w:r>
    </w:p>
    <w:p w:rsidR="007B1BDA" w:rsidRPr="00AD3320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 Регулирующий орган в течение 1 рабочего дня после составления заключения об ОРВ направляет его в администраци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="006852D9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размещения на официальн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 сайте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1BDA" w:rsidRDefault="007B1BDA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4.4.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Ответственный сотрудник 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дминистраци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="006852D9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течение 1 рабочего дня после получения заключения об ОРВ размещает его на официальн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сайт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852D9" w:rsidRPr="00AD3320" w:rsidRDefault="006852D9" w:rsidP="005B15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Default="007B1BDA" w:rsidP="006852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6852D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5. Подготовка экспертного заключения уполномоченным органом</w:t>
      </w:r>
    </w:p>
    <w:p w:rsidR="006852D9" w:rsidRPr="006852D9" w:rsidRDefault="006852D9" w:rsidP="006852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Заключение об ОРВ с приложением проекта правового акта, пояснительной записки к нему и отчета о проведении публичных консультаций регулирующий орган в течение 1 рабочего дня после составления направляет в уполномоченный орган.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 Уполномоченный орган в течение 10 календарных дней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 поступления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документов, указанных в </w:t>
      </w:r>
      <w:proofErr w:type="spell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п.5.1</w:t>
      </w:r>
      <w:proofErr w:type="spell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Порядка: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5.2.1. Рассматривает поступившие документы на предмет: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5.2.1.1. Соблюдения порядка проведения ОРВ.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5.2.1.2. Наличия в пояснительной записке к проекту правового акта сведений, определенных в </w:t>
      </w:r>
      <w:proofErr w:type="spell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п.п.2.1.1</w:t>
      </w:r>
      <w:proofErr w:type="spell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Порядка.</w:t>
      </w:r>
    </w:p>
    <w:p w:rsidR="006852D9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5.2.2. Составляет экспертное заключение об оценке проекта правового акта по форме согласно приложению № 5 к настоящему Порядку, направляет его в администраци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 поселка имени К.Либкнехта Курчатовского района</w:t>
      </w:r>
      <w:r w:rsidR="006852D9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размещения на официальн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сайт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н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аправляет в регулирующий орган.</w:t>
      </w:r>
    </w:p>
    <w:p w:rsidR="007B1BDA" w:rsidRPr="006852D9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5.3. В случае получения отрицательного экспертного заключения регулирующий орган в срок, не превышающий 30 рабочих дней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 поступления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заключения, обеспечивает устранение изложенных в нем замечаний и повторно направляет заключение в уполномоченный орган для подготовки экспертного заключения.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 В случае 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 в порядке и в сроки, установленные разделом 3 настоящего Порядка.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5.5. В случае несогласия регулирующего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органа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полученным заключением возникшие разногласия разрешаются в порядке, установленном разделом 6 настоящего Порядка.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5.6. В случае получения регулирующим органом положительного экспертного заключения уполномоченного органа, регулирующий орган направляет проект правового акта на согласование в порядке, установленном для подготовки и издания правовых актов администрации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852D9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5.7. Уполномоченный орган ежегодно, не позднее 01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марта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года, следующего за отчетным, осуществляет подготовку доклада о развитии и результатах проведения ОРВ в муниципальном образовании «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поселок имени К.Либкнехта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»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Курчатовского района Курской области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представляет его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 поселка имени К.Либкнехта Курчатовского района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Pr="006852D9" w:rsidRDefault="007B1BDA" w:rsidP="006852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6852D9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>Порядок разр</w:t>
      </w:r>
      <w:r w:rsidR="006852D9" w:rsidRPr="006852D9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ешения разногласий, возникающих </w:t>
      </w:r>
      <w:r w:rsidRPr="006852D9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>по результатам проведения ОРВ</w:t>
      </w:r>
    </w:p>
    <w:p w:rsidR="006852D9" w:rsidRPr="006852D9" w:rsidRDefault="006852D9" w:rsidP="006852D9">
      <w:pPr>
        <w:pStyle w:val="a3"/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6.1. Регулирующий орган, в случае получения отрицательного экспертного заключения и несогласия с изложенными в нем выводами, вправе в течение 10 календарных дней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 получения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заключения представить в уполномоченный орган свои возражения в письменном виде.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6.2. Уполномоченный орган в течение 7 календарных дней после получения возражений на отрицательное экспертное заключение (отдельные положения отрицательного экспертного заключения) рассматривает их и в письменной форме уведомляет регулирующий орган о согласии/несогласии с возражениями на отрицательное экспертное заключение (отдельные положения отрицательного экспертного заключения).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6.3. В случае несогласия с возражениями регулирующего органа на отрицательное экспертное заключение (отдельные положения отрицательного экспертного заключения) уполномоченный орган в пределах установленного </w:t>
      </w:r>
      <w:proofErr w:type="spell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п.6.2</w:t>
      </w:r>
      <w:proofErr w:type="spell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Порядка срока оформляет таблицу разногласий к экспертному заключению по форме согласно приложению № 6 к настоящему Порядку и направляет её в регулирующий орган.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6.4. Разрешение разногласий, возникающих по результатам проведения ОРВ, в случае несогласия уполномоченного органа с представленными возражениями регулирующего органа и </w:t>
      </w:r>
      <w:proofErr w:type="spell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недостижения</w:t>
      </w:r>
      <w:proofErr w:type="spell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договорённости по представленным возражениям, осуществляется на совещании у главы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участием заинтересованных лиц, где принимается окончательное решение. Указанное совещание организует и проводит регулирующий орган в срок не позднее 15 календарных дней после получения уведомления уполномоченного органа о несогласии с возражениями на отрицательное экспертное заключение (отдельные положения отрицательного экспертного заключения).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6.5. В целях организации совещания регулирующий орган уведомляет главу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="006852D9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наличии разногласий по результатам проведения ОРВ и о необходимости разрешения указанных разногласий с предложением списка заинтересованных лиц, с целью поиска оптимального решения.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6.6. Глава </w:t>
      </w:r>
      <w:r w:rsidR="006852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 Курчатовского района</w:t>
      </w:r>
      <w:r w:rsidR="006852D9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ОРВ.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6.7. Регулирующий орган извещает всех заинтересованных лиц по списку о дате, времени и месте проведения совещания не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5 календарных дней до дня его проведения.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6.8. В случае необходимости регулирующий орган привлекает независимых экспертов для разрешения разногласий, возникающих по результатам проведения ОРВ, с обязательным присутствием их на совещании.</w:t>
      </w:r>
    </w:p>
    <w:p w:rsidR="007B1BDA" w:rsidRPr="00AD3320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6.9. Принимаемые на совещании решения оформляются протоколом. Протокол должен быть составлен регулирующим органом не позднее 5 календарных дней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 проведения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совещания и направлен всем участникам совещания.</w:t>
      </w:r>
    </w:p>
    <w:p w:rsidR="006852D9" w:rsidRDefault="007B1BDA" w:rsidP="00685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6.10. Решение, принятое по результатам рассмотрения разногласий, является обязательным для регулирующего и уполномоченного органов.</w:t>
      </w:r>
    </w:p>
    <w:p w:rsidR="006852D9" w:rsidRDefault="006852D9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D9" w:rsidRDefault="006852D9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D9" w:rsidRDefault="006852D9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D9" w:rsidRDefault="006852D9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D9" w:rsidRDefault="006852D9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D9" w:rsidRDefault="006852D9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D9" w:rsidRDefault="006852D9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D9" w:rsidRDefault="006852D9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7B1BDA" w:rsidP="00884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 1</w:t>
      </w:r>
    </w:p>
    <w:p w:rsidR="00884DF2" w:rsidRDefault="007B1BDA" w:rsidP="00884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оценки регулирующего воздействия</w:t>
      </w:r>
    </w:p>
    <w:p w:rsidR="007B1BDA" w:rsidRPr="00AD3320" w:rsidRDefault="007B1BDA" w:rsidP="00884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проектов муниципальных нормативных правовых актов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B1BDA" w:rsidRPr="00884DF2" w:rsidRDefault="007B1BDA" w:rsidP="00884D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Уведомление о проведении публичных консультаций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Настоящим 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структурного подразделения (территориального органа) администрации)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7B1BDA" w:rsidRPr="00AD3320" w:rsidRDefault="007B1BDA" w:rsidP="00884D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проекта муниципального нормативного правового акта)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Сроки проведения публичных консультаций:</w:t>
      </w: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«__» ______________ 20__ года - «__» _______________ 20__ года 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Способ направления участниками публичных консультаций своих предложения и замечаний: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и замечания направляются в электронном виде на адрес: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(адрес электронной почты ответственного сотрудника)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или на бумажном носителе по адресу: 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Контактное лицо по вопросам публичных консультаций: 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(Ф.И.О. ответственного сотрудника, должность)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рабочий телефон: ___________________ 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график работы: с _______ до _______ по рабочим дням 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Прилагаемые к уведомлению материалы: 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проект акта;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пояснительная записка к проекту акта;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опросный лист для проведения публичных консультаций.</w:t>
      </w: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884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7B1BDA" w:rsidP="00884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 2</w:t>
      </w:r>
    </w:p>
    <w:p w:rsidR="00884DF2" w:rsidRDefault="007B1BDA" w:rsidP="00884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оценки регулирующего воздействия</w:t>
      </w:r>
    </w:p>
    <w:p w:rsidR="007B1BDA" w:rsidRDefault="007B1BDA" w:rsidP="00884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проектов муниципальных нормативных правовых актов</w:t>
      </w:r>
    </w:p>
    <w:p w:rsidR="00884DF2" w:rsidRPr="00AD3320" w:rsidRDefault="00884DF2" w:rsidP="00884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Pr="00884DF2" w:rsidRDefault="007B1BDA" w:rsidP="00884D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Опросный лист для проведения публичных консультаций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проекта муниципального нормативного правового акта)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Контактная информация об участнике публичных консультаций: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участника: _________________________________________________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Сфера деятельности участника:_____________________________________________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Ф.И.О. контактного лица: ________________________________________________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Номер контактного телефона: 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884DF2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 электронной почты: ______________________________________________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Перечень вопросов,</w:t>
      </w:r>
      <w:r w:rsidR="00884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7B1BDA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На решение какой проблемы, на Ваш взгляд, направлено данное правовое регулирование? Актуальна ли данная проблема сегодня?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затратны</w:t>
      </w:r>
      <w:proofErr w:type="spellEnd"/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и/или более эффективны?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884D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DF2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84DF2" w:rsidRDefault="007B1BDA" w:rsidP="00884DF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имеется ли смысловое противоречие с целями правового регулирования или существующей проблемой либо положение не способствует </w:t>
      </w:r>
      <w:r w:rsidR="00884DF2"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достижению целей регулирования; </w:t>
      </w: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имеются ли технические ошибки;</w:t>
      </w:r>
    </w:p>
    <w:p w:rsidR="00884DF2" w:rsidRDefault="007B1BDA" w:rsidP="00884DF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84DF2" w:rsidRDefault="007B1BDA" w:rsidP="00884DF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84DF2" w:rsidRDefault="007B1BDA" w:rsidP="00884DF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884DF2" w:rsidRDefault="007B1BDA" w:rsidP="00884DF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B1BDA" w:rsidRPr="00884DF2" w:rsidRDefault="007B1BDA" w:rsidP="00884DF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соответствует ли обычаям деловой практики, сложившейся в отрасли?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7B1BDA" w:rsidRPr="00884DF2" w:rsidRDefault="007B1BDA" w:rsidP="00884D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884DF2" w:rsidRDefault="007B1BDA" w:rsidP="00884DF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884DF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AD3320" w:rsidRDefault="007B1BDA" w:rsidP="00884D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A" w:rsidRPr="00AD3320" w:rsidTr="007B1BDA">
        <w:trPr>
          <w:trHeight w:val="15"/>
        </w:trPr>
        <w:tc>
          <w:tcPr>
            <w:tcW w:w="11088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84DF2" w:rsidRDefault="00884DF2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D3B4B" w:rsidRDefault="007D3B4B" w:rsidP="007D3B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A4DB7" w:rsidRDefault="007A4DB7" w:rsidP="007D3B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D3B4B" w:rsidRDefault="007B1BDA" w:rsidP="007D3B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 3</w:t>
      </w:r>
    </w:p>
    <w:p w:rsidR="007D3B4B" w:rsidRDefault="007B1BDA" w:rsidP="007D3B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оценки регулирующего воздействия</w:t>
      </w:r>
    </w:p>
    <w:p w:rsidR="007B1BDA" w:rsidRPr="00AD3320" w:rsidRDefault="007B1BDA" w:rsidP="007D3B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проектов муниципальных нормативных правовых актов</w:t>
      </w:r>
    </w:p>
    <w:p w:rsidR="007D3B4B" w:rsidRDefault="007D3B4B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B1BDA" w:rsidRPr="007D3B4B" w:rsidRDefault="007B1BDA" w:rsidP="007D3B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D3B4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Отчет о проведении публичных консультаций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</w:t>
      </w:r>
      <w:r w:rsidR="007D3B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7B1BDA" w:rsidRDefault="007B1BDA" w:rsidP="00AD3320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структурного подразделения (территориального органа) администрации)</w:t>
      </w:r>
    </w:p>
    <w:p w:rsidR="007D3B4B" w:rsidRPr="00AD3320" w:rsidRDefault="007D3B4B" w:rsidP="00AD3320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7D3B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7B1BDA" w:rsidRPr="00AD3320" w:rsidRDefault="007D3B4B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проекта муниципального нормативного правового акта)</w:t>
      </w:r>
    </w:p>
    <w:p w:rsidR="007D3B4B" w:rsidRPr="007D3B4B" w:rsidRDefault="007B1BDA" w:rsidP="007D3B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D3B4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Срок проведения публичных консультаций:</w:t>
      </w:r>
    </w:p>
    <w:p w:rsidR="007D3B4B" w:rsidRDefault="007D3B4B" w:rsidP="007D3B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D3B4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1BDA" w:rsidRPr="007D3B4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«__» ______________ 20__ года - «__» _______________ 20__ года</w:t>
      </w:r>
    </w:p>
    <w:p w:rsidR="007B1BDA" w:rsidRPr="007D3B4B" w:rsidRDefault="007B1BDA" w:rsidP="007D3B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7D3B4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Проведенные формы публичных консультаций: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975"/>
        <w:gridCol w:w="2418"/>
        <w:gridCol w:w="2170"/>
      </w:tblGrid>
      <w:tr w:rsidR="007B1BDA" w:rsidRPr="00AD3320" w:rsidTr="007B1BDA">
        <w:trPr>
          <w:trHeight w:val="15"/>
        </w:trPr>
        <w:tc>
          <w:tcPr>
            <w:tcW w:w="924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7D3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7D3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формы</w:t>
            </w: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публичных консультаций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7D3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Сроки</w:t>
            </w: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7D3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</w:tr>
      <w:tr w:rsidR="007B1BDA" w:rsidRPr="00AD3320" w:rsidTr="007B1B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AD3320" w:rsidRDefault="007B1BDA" w:rsidP="007D3B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Список участников публичных консультаций: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1.____________________________________________________________</w:t>
      </w:r>
      <w:r w:rsidR="007D3B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участника публичных консультаций)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2.______________________________</w:t>
      </w:r>
      <w:r w:rsidR="007D3B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участника публичных консультаций)</w:t>
      </w:r>
    </w:p>
    <w:p w:rsidR="007B1BDA" w:rsidRPr="00AD3320" w:rsidRDefault="007B1BDA" w:rsidP="005B1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Свод замечаний и предложений по результатам публичных консультаций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572"/>
        <w:gridCol w:w="2976"/>
        <w:gridCol w:w="3139"/>
      </w:tblGrid>
      <w:tr w:rsidR="007B1BDA" w:rsidRPr="00AD3320" w:rsidTr="007B1BDA">
        <w:trPr>
          <w:trHeight w:val="15"/>
        </w:trPr>
        <w:tc>
          <w:tcPr>
            <w:tcW w:w="739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5B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5B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Замечания и (или) предложения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5B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5B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Комментарий (позиция) регулирующего органа</w:t>
            </w:r>
          </w:p>
        </w:tc>
      </w:tr>
      <w:tr w:rsidR="007B1BDA" w:rsidRPr="00AD3320" w:rsidTr="007B1BD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 руководителя администрации)</w:t>
      </w: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B1A90" w:rsidRDefault="005B1A9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 4</w:t>
      </w:r>
    </w:p>
    <w:p w:rsidR="00D06100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оценки регулирующего воздействия</w:t>
      </w:r>
    </w:p>
    <w:p w:rsidR="007B1BDA" w:rsidRPr="00AD3320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проектов муниципальных нормативных правовых актов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Pr="00D06100" w:rsidRDefault="007B1BDA" w:rsidP="00D061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Заключение об оценке проекта муниципального нормативного правового акта</w:t>
      </w: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P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1. Общие сведения:</w:t>
      </w: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 органа местного самоуправления__________________________________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Наименование регулирующего акта: 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7B1BDA" w:rsidRP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2. Описание существующей проблемы: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Причины вмешательства (На решение какой проблемы направлено рассматриваемое регулирование?): __________________________________________________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Цель введения акта: ______________________________________________________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Риски, связанные с текущей ситуацией:________________________________ 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Последствия, если никаких действий не будет предпринято: 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Социальные группы, экономические сектора или территории, на которые оказывается воздействие:_______________________________________________________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</w:t>
      </w:r>
    </w:p>
    <w:p w:rsidR="007B1BDA" w:rsidRP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3. Цели регулирования: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Основные цели регулирования: _______________________________________ 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Обоснование неэффективности действующего в рассматриваемой сфере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регулирования:__________________________________________________________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7B1BDA" w:rsidRP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4. Возможные варианты достижения поставленной цели: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Невмешательство:________________________________________________________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Совершенствование применения существующего регулирования:________________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Саморегулирование:______________________________________________________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Прямое регулирование:____________________________________________________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Какие инструменты могут быть использованы для достижения поставленной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цели?:__________________________________________________________________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Качественное описание и количественная оценка соответствующего воздействия (если возможно): _________________________________________________________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0610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5. Публичные консультации: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Стороны, с которыми были проведены консультации: 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Основные результаты консультаций: 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0610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6. Рекомендуемый вариант регулирующего решения:</w:t>
      </w:r>
    </w:p>
    <w:p w:rsid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Описание выбранного варианта (принятие новых муниципальных нормативных правовых актов, признание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утратившими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силу муниципальных нормативных правовых актов, внесение изменений в муниципальные нормативные правовые акты, сохранение действующего режима регулирования): 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</w:p>
    <w:p w:rsid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</w:t>
      </w:r>
    </w:p>
    <w:p w:rsid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Ожидаемые выгоды и издержки от реализации выбранного варианта: ______________</w:t>
      </w:r>
    </w:p>
    <w:p w:rsid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_Необходимые меры, позволяющие минимизировать негативные последствия применения соответствующего варианта:________________________________________</w:t>
      </w:r>
    </w:p>
    <w:p w:rsid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Период воздействия 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(кратко-, средне- или долгосрочный)</w:t>
      </w:r>
    </w:p>
    <w:p w:rsidR="00D06100" w:rsidRPr="00D06100" w:rsidRDefault="007B1BDA" w:rsidP="00D061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>Информация об исполнителях:</w:t>
      </w:r>
      <w:r w:rsidRPr="00D061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________________</w:t>
      </w:r>
      <w:r w:rsidR="00D061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</w:t>
      </w:r>
    </w:p>
    <w:p w:rsidR="007B1BDA" w:rsidRPr="00D06100" w:rsidRDefault="007B1BDA" w:rsidP="00D061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</w:t>
      </w:r>
      <w:r w:rsidRPr="00D061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(Ф.И.О, телефон, адрес электронной почты исполнителя)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 руководителя администрации)</w:t>
      </w: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 5</w:t>
      </w:r>
    </w:p>
    <w:p w:rsidR="00D06100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оценки регулирующего воздействия</w:t>
      </w:r>
    </w:p>
    <w:p w:rsidR="007B1BDA" w:rsidRPr="00AD3320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проектов муниципальных нормативных правовых актов</w:t>
      </w:r>
    </w:p>
    <w:p w:rsidR="00D06100" w:rsidRPr="00D06100" w:rsidRDefault="00D06100" w:rsidP="00D061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7B1BDA" w:rsidRPr="00D06100" w:rsidRDefault="007B1BDA" w:rsidP="00D061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Экспертное заключение об оценке проекта</w:t>
      </w:r>
      <w:r w:rsidRPr="00D0610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br/>
        <w:t>муниципального нормативного правового акта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Общие сведения:</w:t>
      </w:r>
    </w:p>
    <w:p w:rsid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Уполномоченный орган: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Наименование структурного подразделения (территориального органа) администрации, проводившего оценку проекта правового акта:___________________________________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Наименование регулирующего акта: 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Замечания по проведенной оценке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процедурам оценки: ____________________________________________________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Выводы: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D06100" w:rsidRDefault="007B1BDA" w:rsidP="00D0610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Информация об исполнителе:</w:t>
      </w:r>
    </w:p>
    <w:p w:rsidR="00D06100" w:rsidRDefault="007B1BDA" w:rsidP="00D061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061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</w:t>
      </w:r>
    </w:p>
    <w:p w:rsidR="007B1BDA" w:rsidRPr="00D06100" w:rsidRDefault="007B1BDA" w:rsidP="00D061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0610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(Ф.И.О, телефон, адрес электронной почты исполнителя)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 руководителя уполномоченного органа)</w:t>
      </w: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06100" w:rsidRDefault="00D06100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 6</w:t>
      </w:r>
    </w:p>
    <w:p w:rsidR="00D06100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оценки регулирующего воздействия</w:t>
      </w:r>
    </w:p>
    <w:p w:rsidR="007B1BDA" w:rsidRDefault="007B1BDA" w:rsidP="00D061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проектов муниципальных нормативных правовых актов</w:t>
      </w:r>
    </w:p>
    <w:p w:rsidR="00D06100" w:rsidRPr="00AD332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Pr="00AD3320" w:rsidRDefault="007B1BDA" w:rsidP="00D061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Таблица разногласий к экспертному заключению</w:t>
      </w:r>
    </w:p>
    <w:p w:rsidR="00D0610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</w:t>
      </w:r>
      <w:r w:rsidR="00D061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</w:p>
    <w:p w:rsidR="007B1BDA" w:rsidRPr="00AD3320" w:rsidRDefault="007B1BDA" w:rsidP="00D061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и реквизиты экспертного заключения)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599"/>
        <w:gridCol w:w="3051"/>
        <w:gridCol w:w="3051"/>
      </w:tblGrid>
      <w:tr w:rsidR="007B1BDA" w:rsidRPr="00AD3320" w:rsidTr="007B1BDA">
        <w:trPr>
          <w:trHeight w:val="15"/>
        </w:trPr>
        <w:tc>
          <w:tcPr>
            <w:tcW w:w="924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Замечания и предложения уполномоченного органа</w:t>
            </w: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Обоснование несогласия регулирующего органа с замечаниями</w:t>
            </w: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 предложениями уполномоченного органа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Мотивированное обоснование несогласия уполномоченного органа</w:t>
            </w:r>
            <w:r w:rsidRPr="00AD33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 возражениями регулирующего органа</w:t>
            </w:r>
          </w:p>
        </w:tc>
      </w:tr>
      <w:tr w:rsidR="007B1BDA" w:rsidRPr="00AD3320" w:rsidTr="007B1B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DA" w:rsidRPr="00AD3320" w:rsidTr="007B1B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B1BDA" w:rsidRPr="00AD3320" w:rsidRDefault="007B1BDA" w:rsidP="00AD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 руководителя уполномоченного органа)</w:t>
      </w: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6100" w:rsidRDefault="00D06100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7715E" w:rsidRPr="00AD3320" w:rsidRDefault="00C7715E" w:rsidP="00C771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>Приложение №</w:t>
      </w:r>
      <w:r>
        <w:rPr>
          <w:rFonts w:ascii="Times New Roman" w:hAnsi="Times New Roman" w:cs="Times New Roman"/>
          <w:sz w:val="24"/>
        </w:rPr>
        <w:t>2</w:t>
      </w:r>
    </w:p>
    <w:p w:rsidR="00C7715E" w:rsidRPr="00AD3320" w:rsidRDefault="00C7715E" w:rsidP="00C771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>к Постановлению Администрации поселка</w:t>
      </w:r>
    </w:p>
    <w:p w:rsidR="00C7715E" w:rsidRPr="00AD3320" w:rsidRDefault="00C7715E" w:rsidP="00C771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 xml:space="preserve">имени К.Либкнехта </w:t>
      </w:r>
      <w:r>
        <w:rPr>
          <w:rFonts w:ascii="Times New Roman" w:hAnsi="Times New Roman" w:cs="Times New Roman"/>
          <w:sz w:val="24"/>
        </w:rPr>
        <w:t>Курчатовского района</w:t>
      </w:r>
    </w:p>
    <w:p w:rsidR="00C7715E" w:rsidRPr="00AD3320" w:rsidRDefault="00C7715E" w:rsidP="00C771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320">
        <w:rPr>
          <w:rFonts w:ascii="Times New Roman" w:hAnsi="Times New Roman" w:cs="Times New Roman"/>
          <w:sz w:val="24"/>
        </w:rPr>
        <w:t xml:space="preserve">от </w:t>
      </w:r>
      <w:r w:rsidR="00703797">
        <w:rPr>
          <w:rFonts w:ascii="Times New Roman" w:hAnsi="Times New Roman" w:cs="Times New Roman"/>
          <w:sz w:val="24"/>
        </w:rPr>
        <w:t>03.03.2021 г.</w:t>
      </w:r>
      <w:r w:rsidRPr="00AD3320">
        <w:rPr>
          <w:rFonts w:ascii="Times New Roman" w:hAnsi="Times New Roman" w:cs="Times New Roman"/>
          <w:sz w:val="24"/>
        </w:rPr>
        <w:t xml:space="preserve"> №</w:t>
      </w:r>
      <w:r w:rsidR="00703797">
        <w:rPr>
          <w:rFonts w:ascii="Times New Roman" w:hAnsi="Times New Roman" w:cs="Times New Roman"/>
          <w:sz w:val="24"/>
        </w:rPr>
        <w:t>41</w:t>
      </w:r>
    </w:p>
    <w:p w:rsidR="00C7715E" w:rsidRDefault="00C7715E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Pr="00C7715E" w:rsidRDefault="007B1BDA" w:rsidP="00C77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C7715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1. Общие положения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Настоящий Порядок разработан </w:t>
      </w:r>
      <w:r w:rsidR="00C771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</w:t>
      </w:r>
      <w:r w:rsidR="00C7715E" w:rsidRP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5" w:history="1">
        <w:r w:rsidR="00C7715E"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C7715E" w:rsidRP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6" w:history="1">
        <w:r w:rsidR="00C7715E"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09.11.2020 № 363-ФЗ «О внесении изменений в статью 46 Федерального закона «Об общих принципах организации местного самоуправления в Российской Федерации»</w:t>
        </w:r>
      </w:hyperlink>
      <w:r w:rsidR="00C7715E" w:rsidRPr="00AD33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7" w:history="1">
        <w:r w:rsidR="00C7715E"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Курской области от 25.02.2014 № 9-ЗКО «О порядке проведения оценки регулирующего воздействия проектов нормативных правовых актов Курской области</w:t>
        </w:r>
        <w:proofErr w:type="gramEnd"/>
        <w:r w:rsidR="00C7715E"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, </w:t>
        </w:r>
        <w:proofErr w:type="gramStart"/>
        <w:r w:rsidR="00C7715E" w:rsidRPr="00AD332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  </w:r>
      </w:hyperlink>
      <w:r w:rsidR="00C7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(в редакции Закона Курской области от 18.02.2020 г. №9-ЗКО)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и определяет правила проведения экспертизы нормативных правовых актов администрации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правовые акты), затрагивающих вопросы осуществления предпринимательской и инвестиционной деятельности (далее - экспертиза), в целях выявления положений, необоснованно затрудняющих осуществление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предпринимательской и инвестиционной деятельности.</w:t>
      </w:r>
    </w:p>
    <w:p w:rsidR="00583A51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Для целей настоящего Порядка применяются следующие понятия:</w:t>
      </w:r>
    </w:p>
    <w:p w:rsidR="00583A51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экспертиза правового акта - оценка фактического воздействия правового акта, направленная на сопоставительный анализ оценочных данных о возможном воздействии и данных о фактическом воздействии регулирования;</w:t>
      </w:r>
    </w:p>
    <w:p w:rsidR="00583A51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б) регулирующие органы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ответственное должностное лицо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являющиеся разработчиками правовых актов;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в) уполномоченный орган -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ответственное должностное лицо</w:t>
      </w:r>
      <w:r w:rsidR="00583A51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уполномоченное на осуществление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проведением про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цедур экспертизы правовых актов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Экспертиза проводится в отношении результативности (достижения изначально поставленных целей) и эффективности (оправданности с точки зрения выгод и издержек социальных групп) регулирования с целью пересмотра, внесения изменений, отмены правового акта, по проекту которого проводилась оценка регулирующего воздействия.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 Положения настоящего Порядка не распространяются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1.4.1. Регулирование цен (тарифов) на товары (услуги).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1.4.2. Правовые акты: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1.4.2.1. По которым приняты бюджетные обязательства.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1.4.2.2. Содержащие сведения, составляющие государственную тайну.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1.4.2.3. Содержащие сведения конфиденциального характера.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1.4.2.4.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Принимаемые во исполнение актов высшей юридической силы.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7B1BDA" w:rsidRPr="00583A51" w:rsidRDefault="007B1BDA" w:rsidP="00583A5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583A5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2. Порядок проведения экспертизы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Экспертиза проводится регулирующим органом 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 (далее - предложения), направленных в регулирующий орган органами государственной власти, органами местного самоуправления, научно-исследовательскими, общественными и иными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организациями, субъектами предпринимательской и инвестиционной деятельности, их ассоциациями и союзами, а также иными заинтересованными лицами.</w:t>
      </w:r>
      <w:proofErr w:type="gramEnd"/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Срок проведения экспертизы правовых актов составляет 30 календарных дней.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Экспертиза правового акта осуществляется регулирующим органом путем сопоставления данных заключения об оценке регулирующего воздействия проекта правового акта, подготовленного на стадии его разработки, с фактическими результатами его применения для определения степени достижения цели регулирования.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рамках экспертизы возможно использование официальной статистической информации, данных ведомственной статистики, результатов социологических исследований, в том числе опросов, совещаний экспертных групп, экспертных оценок, а также иных методов, позволяющих сопоставить </w:t>
      </w:r>
      <w:proofErr w:type="spell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прогнозировавшиеся</w:t>
      </w:r>
      <w:proofErr w:type="spell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разработке проекта правового акта значения выгод и издержек социальных групп с фактическими данными, а также определить степень достижения целей регулирования.</w:t>
      </w:r>
      <w:proofErr w:type="gramEnd"/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По результатам проведения экспертизы регулирующим органом в течение 5 календарных дней со дня истечения срока ее проведения оформляется заключение по форме согласно приложению № 1 к настоящему Порядку.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Регулирующий орган в течение 1 рабочего дня после составления заключения направляет его в администраци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ответственное должностное лицо</w:t>
      </w:r>
      <w:r w:rsidR="00583A51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="00583A51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размещения на официальном сайте администрации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="00583A51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информационно-телекоммуникационной сети «Интернет» (далее - официальны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сайт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2.7.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Сотрудник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583A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="00583A51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течение 1 рабочего дня после получения заключения размещает его на официальных сайтах.</w:t>
      </w:r>
    </w:p>
    <w:p w:rsidR="007B1BDA" w:rsidRDefault="007B1BDA" w:rsidP="00583A5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83A5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3. Подготовка экспертного заключения уполномоченным органом</w:t>
      </w:r>
    </w:p>
    <w:p w:rsidR="00142354" w:rsidRPr="00583A51" w:rsidRDefault="00142354" w:rsidP="00583A5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Заключение об экспертизе регулирующий орган в течение 1 рабочего дня после составления направляет в уполномоченный орган.</w:t>
      </w:r>
    </w:p>
    <w:p w:rsidR="00142354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Уполномоченный орган в течение 10 календарных дней с даты поступления заключения об экспертизе рассматривает его на предмет соблюдения порядка проведения экспертизы, составляет экспертное заключение по форме согласно приложению № 2 к настоящему Порядку, направляет его 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ответственному должностному лицу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="00142354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размещения на официальн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сайт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МО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направляет 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регулирующий орган.</w:t>
      </w:r>
      <w:proofErr w:type="gramEnd"/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3.3. В случае получения отрицательного экспертного заключения регулирующий орган в срок, не превышающий 30 рабочих дней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 поступления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заключения, обеспечивает устранение изложенных в нем замечаний и повторно направляет заключение об экспертизе в уполномоченный орган для подготовки экспертного заключения.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 В случае несогласия регулирующего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органа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полученным заключением возникшие разногласия разрешаются в порядке, установленном разделом 6 Порядка проведения оценки регулирующего воздействия проектов муниципальных нормативных правовых актов.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3.5. В случае если по итогам проведения экспертизы правового акта регулирующим органом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способствующие возникновению необоснованных расходов субъектов предпринимательской и инвестиционной деятельности и бюджета 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; необоснованно затрудняющие осуществление предпринимательской и инвестиционной деятельности, регулирующий орган обеспечивает отмену или изменение данного правового акта в порядке,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установленном правовыми актами администрации 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поселка имени К.Либкнехта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 письменно уведомляет об этом уполномоченный орган.</w:t>
      </w:r>
    </w:p>
    <w:p w:rsidR="007B1BDA" w:rsidRPr="00AD3320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3.6. Регулирующие органы ежегодно, не позднее 20 января года, следующего за отчетным, подготавливает информацию о результатах экспертизы правовых </w:t>
      </w:r>
      <w:proofErr w:type="gramStart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актов</w:t>
      </w:r>
      <w:proofErr w:type="gramEnd"/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направляют ее в уполномоченный орган для обобщения.</w:t>
      </w:r>
    </w:p>
    <w:p w:rsidR="00142354" w:rsidRDefault="007B1BDA" w:rsidP="00C7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3.7. 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Ответственное должностное лицо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ежегодно, не позднее 01 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марта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года, следующего за отчетным, обобщает поступившую от регулирующих органов информацию о результатах экспертизы правовых актов, размещает на официальн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ом 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сайт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МО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42354" w:rsidRDefault="007B1BDA" w:rsidP="00142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 1</w:t>
      </w:r>
    </w:p>
    <w:p w:rsidR="00142354" w:rsidRDefault="007B1BDA" w:rsidP="00142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экспертизы</w:t>
      </w:r>
    </w:p>
    <w:p w:rsidR="007B1BDA" w:rsidRPr="00AD3320" w:rsidRDefault="007B1BDA" w:rsidP="00142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нормативных правовых актов</w:t>
      </w:r>
    </w:p>
    <w:p w:rsidR="007B1BDA" w:rsidRPr="00AD3320" w:rsidRDefault="007B1BDA" w:rsidP="00142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Pr="00142354" w:rsidRDefault="007B1BDA" w:rsidP="00142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14235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Заключение об экспертизе</w:t>
      </w:r>
    </w:p>
    <w:p w:rsidR="007B1BDA" w:rsidRPr="00142354" w:rsidRDefault="007B1BDA" w:rsidP="00142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14235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муниципального нормативного правового акта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Общие сведения:</w:t>
      </w:r>
    </w:p>
    <w:p w:rsidR="00142354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 структурного подразделения (территориального органа) администрации:__________________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Реквизиты правового акта: ________________________________________________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Результаты заключения об ОРВ проекта правового акта: _______________________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="007B1BDA"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Анализ правового акта: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Выводы: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142354" w:rsidRPr="00142354" w:rsidRDefault="007B1BDA" w:rsidP="001423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Информация об исполнителе: _____________________________</w:t>
      </w:r>
      <w:r w:rsid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</w:t>
      </w:r>
    </w:p>
    <w:p w:rsidR="007B1BDA" w:rsidRPr="00142354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</w:t>
      </w:r>
      <w:r w:rsid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</w:t>
      </w:r>
      <w:r w:rsidRP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(Ф.И.О, телефон, адрес электронной почты исполнителя)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 руководителя структурного подразделения (территориального органа) администрации)</w:t>
      </w: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</w:p>
    <w:p w:rsidR="00142354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42354" w:rsidRDefault="007B1BDA" w:rsidP="00142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 2</w:t>
      </w:r>
    </w:p>
    <w:p w:rsidR="00142354" w:rsidRDefault="007B1BDA" w:rsidP="00142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экспертизы</w:t>
      </w:r>
    </w:p>
    <w:p w:rsidR="007B1BDA" w:rsidRDefault="007B1BDA" w:rsidP="00142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нормативных правовых актов</w:t>
      </w:r>
    </w:p>
    <w:p w:rsidR="00142354" w:rsidRPr="00AD3320" w:rsidRDefault="00142354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1BDA" w:rsidRPr="00142354" w:rsidRDefault="007B1BDA" w:rsidP="00142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14235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Экспертное заключение об экспертизе муниципального правового акта</w:t>
      </w:r>
      <w:r w:rsidRPr="0014235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br/>
      </w:r>
    </w:p>
    <w:p w:rsidR="007B1BDA" w:rsidRPr="00AD3320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Общие сведения:</w:t>
      </w:r>
    </w:p>
    <w:p w:rsidR="00142354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Уполномоченный орган:</w:t>
      </w:r>
    </w:p>
    <w:p w:rsidR="007B1BDA" w:rsidRPr="00AD3320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Наименование структурного подразделения (территориального органа) администрации, проводившего экспертизу правового акта:______________________________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Реквизиты правового акта: ________________________________________________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7B1BDA" w:rsidRPr="00AD3320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Замечания по проведенной экспертизе</w:t>
      </w:r>
    </w:p>
    <w:p w:rsidR="007B1BDA" w:rsidRPr="00AD3320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процедурам экспертизы: _______________________________________________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7B1BDA" w:rsidRPr="00AD3320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Выводы:</w:t>
      </w:r>
    </w:p>
    <w:p w:rsidR="007B1BDA" w:rsidRPr="00AD3320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142354" w:rsidRPr="00142354" w:rsidRDefault="007B1BDA" w:rsidP="001423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Информация об исполнителе: _____________________________________</w:t>
      </w:r>
      <w:r w:rsidR="00142354" w:rsidRP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</w:t>
      </w:r>
    </w:p>
    <w:p w:rsidR="007B1BDA" w:rsidRPr="00142354" w:rsidRDefault="007B1BDA" w:rsidP="0014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Pr="0014235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(Ф.И.О, телефон, адрес электронной почты исполнителя)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</w:t>
      </w:r>
      <w:r w:rsidR="001423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</w:p>
    <w:p w:rsidR="007B1BDA" w:rsidRPr="00AD3320" w:rsidRDefault="007B1BDA" w:rsidP="00AD3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D33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 руководителя уполномоченного органа)</w:t>
      </w:r>
    </w:p>
    <w:bookmarkEnd w:id="0"/>
    <w:p w:rsidR="002E229D" w:rsidRPr="00AD3320" w:rsidRDefault="002E229D" w:rsidP="00AD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229D" w:rsidRPr="00AD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09"/>
    <w:multiLevelType w:val="hybridMultilevel"/>
    <w:tmpl w:val="A1E0A770"/>
    <w:lvl w:ilvl="0" w:tplc="7B389C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85F16"/>
    <w:multiLevelType w:val="hybridMultilevel"/>
    <w:tmpl w:val="3B50C570"/>
    <w:lvl w:ilvl="0" w:tplc="BD9C7CA6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6E446F"/>
    <w:multiLevelType w:val="hybridMultilevel"/>
    <w:tmpl w:val="BC8CDF12"/>
    <w:lvl w:ilvl="0" w:tplc="BD9C7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027B65"/>
    <w:multiLevelType w:val="hybridMultilevel"/>
    <w:tmpl w:val="1918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92E64"/>
    <w:multiLevelType w:val="hybridMultilevel"/>
    <w:tmpl w:val="FAFC2F96"/>
    <w:lvl w:ilvl="0" w:tplc="BD9C7C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D7F65"/>
    <w:multiLevelType w:val="hybridMultilevel"/>
    <w:tmpl w:val="D2BE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23143"/>
    <w:multiLevelType w:val="multilevel"/>
    <w:tmpl w:val="B1FE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307B24"/>
    <w:multiLevelType w:val="hybridMultilevel"/>
    <w:tmpl w:val="2660B3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70E65"/>
    <w:multiLevelType w:val="hybridMultilevel"/>
    <w:tmpl w:val="75D84C26"/>
    <w:lvl w:ilvl="0" w:tplc="8EC23EE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B2"/>
    <w:rsid w:val="001202AA"/>
    <w:rsid w:val="00142354"/>
    <w:rsid w:val="001E3829"/>
    <w:rsid w:val="00273565"/>
    <w:rsid w:val="002E229D"/>
    <w:rsid w:val="00471429"/>
    <w:rsid w:val="00583A51"/>
    <w:rsid w:val="005B1526"/>
    <w:rsid w:val="005B1A90"/>
    <w:rsid w:val="006852D9"/>
    <w:rsid w:val="006A4F70"/>
    <w:rsid w:val="00703797"/>
    <w:rsid w:val="007A4DB7"/>
    <w:rsid w:val="007B1BDA"/>
    <w:rsid w:val="007D3B4B"/>
    <w:rsid w:val="00850AB2"/>
    <w:rsid w:val="00884DF2"/>
    <w:rsid w:val="00AD3320"/>
    <w:rsid w:val="00C14994"/>
    <w:rsid w:val="00C7715E"/>
    <w:rsid w:val="00CE01EA"/>
    <w:rsid w:val="00D06100"/>
    <w:rsid w:val="00D50DC9"/>
    <w:rsid w:val="00E06725"/>
    <w:rsid w:val="00E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B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D33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B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D33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33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374069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8721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6551336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4655133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4492484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513364" TargetMode="External"/><Relationship Id="rId14" Type="http://schemas.openxmlformats.org/officeDocument/2006/relationships/hyperlink" Target="http://docs.cntd.ru/document/465517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85F-C477-4D95-97CA-6309EFCA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6938</Words>
  <Characters>39551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Панищева Наталья Геннадиевна</dc:creator>
  <cp:lastModifiedBy>User</cp:lastModifiedBy>
  <cp:revision>4</cp:revision>
  <cp:lastPrinted>2021-03-09T14:02:00Z</cp:lastPrinted>
  <dcterms:created xsi:type="dcterms:W3CDTF">2021-03-09T13:44:00Z</dcterms:created>
  <dcterms:modified xsi:type="dcterms:W3CDTF">2021-03-09T14:02:00Z</dcterms:modified>
</cp:coreProperties>
</file>